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60" w:after="0"/>
        <w:ind w:left="100" w:right="197"/>
        <w:rPr/>
      </w:pPr>
      <w:r>
        <w:rPr/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3048000</wp:posOffset>
            </wp:positionH>
            <wp:positionV relativeFrom="paragraph">
              <wp:posOffset>46990</wp:posOffset>
            </wp:positionV>
            <wp:extent cx="925830" cy="735330"/>
            <wp:effectExtent l="0" t="0" r="0" b="0"/>
            <wp:wrapSquare wrapText="bothSides"/>
            <wp:docPr id="1" name="Immagine 1" descr="Immagine che contiene cavallo, clipart, disegn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vallo, clipart, disegn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</w:r>
    </w:p>
    <w:p>
      <w:pPr>
        <w:pStyle w:val="Standard"/>
        <w:jc w:val="center"/>
        <w:rPr>
          <w:rFonts w:ascii="Copperplate Gothic Light" w:hAnsi="Copperplate Gothic Light"/>
          <w:b/>
          <w:color w:themeColor="background1" w:themeShade="a6" w:val="A6A6A6"/>
        </w:rPr>
      </w:pPr>
      <w:r>
        <w:rPr>
          <w:rFonts w:ascii="Copperplate Gothic Light" w:hAnsi="Copperplate Gothic Light"/>
          <w:b/>
          <w:color w:themeColor="background1" w:themeShade="a6" w:val="A6A6A6"/>
        </w:rPr>
        <w:t>GIAN LUCA BERTONI</w:t>
      </w:r>
    </w:p>
    <w:p>
      <w:pPr>
        <w:pStyle w:val="Standard"/>
        <w:jc w:val="center"/>
        <w:rPr>
          <w:rFonts w:ascii="Copperplate Gothic Light" w:hAnsi="Copperplate Gothic Light"/>
          <w:b/>
          <w:color w:themeColor="background1" w:themeShade="a6" w:val="A6A6A6"/>
        </w:rPr>
      </w:pPr>
      <w:r>
        <w:rPr>
          <w:rFonts w:ascii="Copperplate Gothic Light" w:hAnsi="Copperplate Gothic Light"/>
          <w:b/>
          <w:color w:themeColor="background1" w:themeShade="a6" w:val="A6A6A6"/>
        </w:rPr>
        <w:t>Dottore Commercialista   Revisore Contabile</w:t>
      </w:r>
    </w:p>
    <w:p>
      <w:pPr>
        <w:pStyle w:val="BodyTex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300" w:before="53" w:after="0"/>
        <w:ind w:left="100" w:right="24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spacing w:lineRule="auto" w:line="300" w:before="53" w:after="0"/>
        <w:ind w:left="100" w:right="24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spacing w:lineRule="auto" w:line="300" w:before="53" w:after="0"/>
        <w:ind w:left="100" w:right="246"/>
        <w:jc w:val="center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33"/>
        </w:rPr>
        <w:t xml:space="preserve">NOVITA’ FINANZIARIA 2025 </w:t>
      </w: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33"/>
        </w:rPr>
        <w:t>PER I FORFETTARI</w:t>
      </w: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33"/>
        </w:rPr>
        <w:t xml:space="preserve">: </w:t>
      </w:r>
    </w:p>
    <w:p>
      <w:pPr>
        <w:pStyle w:val="Normal"/>
        <w:spacing w:lineRule="auto" w:line="300" w:before="53" w:after="0"/>
        <w:ind w:left="100" w:right="246"/>
        <w:jc w:val="center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33"/>
        </w:rPr>
        <w:t xml:space="preserve">1) </w:t>
      </w: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33"/>
        </w:rPr>
        <w:t xml:space="preserve">RIMBORSI SPESE  </w:t>
      </w:r>
    </w:p>
    <w:p>
      <w:pPr>
        <w:pStyle w:val="Normal"/>
        <w:spacing w:lineRule="auto" w:line="300" w:before="53" w:after="0"/>
        <w:ind w:left="100" w:right="246"/>
        <w:jc w:val="center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33"/>
        </w:rPr>
        <w:t xml:space="preserve">2) </w:t>
      </w: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33"/>
        </w:rPr>
        <w:t xml:space="preserve">LAVORO DIPENDENTE </w:t>
      </w:r>
    </w:p>
    <w:p>
      <w:pPr>
        <w:pStyle w:val="Normal"/>
        <w:spacing w:lineRule="auto" w:line="300" w:before="53" w:after="0"/>
        <w:ind w:left="100" w:right="246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</w:r>
    </w:p>
    <w:p>
      <w:pPr>
        <w:pStyle w:val="BodyText"/>
        <w:spacing w:lineRule="auto" w:line="300" w:before="53" w:after="0"/>
        <w:ind w:left="100" w:right="246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33"/>
        </w:rPr>
        <w:t xml:space="preserve">1) </w:t>
      </w: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33"/>
        </w:rPr>
        <w:t xml:space="preserve">RIMBORSI SPESE : 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si informa che a partire dall' 1/1/2025 per gli esercenti arti e professioni viene previsto che le spese relative a prestazioni alberghiere e di somministrazione di alimenti e bevande, nonche' quelle di viaggio e trasporto, effettuati mediante autoservizi pubblici non di linea (taxi o noleggio con conducente), addebitate analiticamente al committente saranno deducibili (ai fini del reddito d'impresa e dell'IRAP) per detto committente s</w:t>
      </w:r>
      <w:r>
        <w:rPr>
          <w:rFonts w:ascii="Calibri" w:hAnsi="Calibri"/>
          <w:b w:val="false"/>
          <w:i/>
          <w:caps w:val="false"/>
          <w:smallCaps w:val="false"/>
          <w:color w:val="222222"/>
          <w:spacing w:val="0"/>
          <w:sz w:val="24"/>
          <w:u w:val="single"/>
        </w:rPr>
        <w:t>olo se eseguite mediante strumenti tracciabili es. carte di debito, di credito e prepagate, ecc.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br/>
        <w:br/>
        <w:t xml:space="preserve">Pertanto sicuramente Vi sara' chiesto, dal vostro committente se siete in accordi di ottenere 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detti 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rimborsi,  di riaddebitare in fattura per ricevere il rimborso da parte del committente delle sole spese di cui sara' fornita documentazione del pagamento in forma tracciata.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color w:val="222222"/>
          <w:spacing w:val="0"/>
        </w:rPr>
        <w:t> 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Inoltre, sempre a partire dall'1.1.2025, ai sensi dell'art. 54 co. 1 lett. b) del TUIR (come sostituito dall'art. 5 co. 1 lett. b) del DLgs. 192/2024) 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u w:val="single"/>
        </w:rPr>
        <w:t>non concorrono piu' a formare il reddito di lavoro autonomo i rimborsi delle spese sostenute dall'esercente arte o professione per l'esecuzione di un incarico e addebitate analiticamente in capo al committente (es. viaggio e trasporto, vitto e alloggio)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.</w:t>
        <w:br/>
        <w:br/>
        <w:br/>
      </w:r>
      <w:r>
        <w:rPr>
          <w:rFonts w:ascii="Calibri" w:hAnsi="Calibri"/>
          <w:b w:val="false"/>
          <w:i/>
          <w:iCs/>
          <w:caps w:val="false"/>
          <w:smallCaps w:val="false"/>
          <w:color w:val="222222"/>
          <w:spacing w:val="0"/>
          <w:sz w:val="24"/>
        </w:rPr>
        <w:t>Resta inalterata la disciplina su:</w:t>
        <w:br/>
        <w:t>-rimborsi forfettari (cioè non analitici) di spesa, assimilati in tutto e per tutto al compenso;</w:t>
        <w:br/>
        <w:t>-rimborsi delle spese anticipate in nome e per conto del cliente (anticipo del pagamento di documenti di spesa intestati al committente), gia' da prima irrilevanti ai fini reddituali del professionista che le riaddebita in fattura.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  <w:caps w:val="false"/>
          <w:smallCaps w:val="false"/>
          <w:color w:val="222222"/>
          <w:spacing w:val="0"/>
        </w:rPr>
        <w:t> 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Di seguito una breve sintesi delle norme rispetto a quanto sopra riportato: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-          </w:t>
      </w:r>
      <w:r>
        <w:rPr>
          <w:rFonts w:ascii="Calibri" w:hAnsi="Calibri"/>
          <w:b/>
          <w:i w:val="false"/>
          <w:caps w:val="false"/>
          <w:smallCaps w:val="false"/>
          <w:color w:val="222222"/>
          <w:spacing w:val="0"/>
          <w:sz w:val="24"/>
        </w:rPr>
        <w:t>Spese anticipate in nome e per conto del cliente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 (visure, diritti camerali, contributi unificati, ecc):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·         Ai fini IVA sono escluse art. 15 dpr 633/72  </w:t>
      </w:r>
      <w:r>
        <w:rPr>
          <w:rFonts w:ascii="Calibri" w:hAnsi="Calibri"/>
          <w:b/>
          <w:i w:val="false"/>
          <w:caps w:val="false"/>
          <w:smallCaps w:val="false"/>
          <w:color w:val="FF0000"/>
          <w:spacing w:val="0"/>
          <w:sz w:val="24"/>
        </w:rPr>
        <w:t>E NON IL SOLITO ARTICOLO DEL REGIME FORFETTARIO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·         Ai fini IRPEF sono escluse dal reddito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·         La spesa deve essere documentata ed intestata al cliente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·         La documentazione va allegata o, comunque, trovarsi in atti depositati presso uffici pubblici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/>
          <w:caps w:val="false"/>
          <w:smallCaps w:val="false"/>
          <w:color w:val="222222"/>
          <w:spacing w:val="0"/>
          <w:sz w:val="24"/>
        </w:rPr>
        <w:t>Quanto sopra è rimasto invariato rispetto alle regole  ante 2025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color w:val="222222"/>
          <w:spacing w:val="0"/>
        </w:rPr>
        <w:t> 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-          </w:t>
      </w:r>
      <w:r>
        <w:rPr>
          <w:rFonts w:ascii="Calibri" w:hAnsi="Calibri"/>
          <w:b/>
          <w:i w:val="false"/>
          <w:caps w:val="false"/>
          <w:smallCaps w:val="false"/>
          <w:color w:val="222222"/>
          <w:spacing w:val="0"/>
          <w:sz w:val="24"/>
        </w:rPr>
        <w:t>Spese di vitto / alloggio e spese di viaggio intestate al professionista: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si prono due casistiche: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·         </w:t>
      </w:r>
      <w:r>
        <w:rPr>
          <w:rFonts w:ascii="Calibri" w:hAnsi="Calibri"/>
          <w:b w:val="false"/>
          <w:i/>
          <w:caps w:val="false"/>
          <w:smallCaps w:val="false"/>
          <w:color w:val="222222"/>
          <w:spacing w:val="0"/>
          <w:sz w:val="24"/>
          <w:u w:val="single"/>
        </w:rPr>
        <w:t>Se dette spese NON sono riaddebitate in via analitica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 allora concorrono al reddito 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(come già avveniva fino al 2024)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·         </w:t>
      </w:r>
      <w:r>
        <w:rPr>
          <w:rFonts w:ascii="Calibri" w:hAnsi="Calibri"/>
          <w:b w:val="false"/>
          <w:i/>
          <w:caps w:val="false"/>
          <w:smallCaps w:val="false"/>
          <w:color w:val="222222"/>
          <w:spacing w:val="0"/>
          <w:sz w:val="24"/>
          <w:u w:val="single"/>
        </w:rPr>
        <w:t>Se dette spese sono riaddebitate in via analitica e rimborsate dal committente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 allora il rimborso NON è tassato in capo al percipiente. Ai fini IVA sono escluse art. 15 dpr 633/72  </w:t>
      </w:r>
      <w:r>
        <w:rPr>
          <w:rFonts w:ascii="Calibri" w:hAnsi="Calibri"/>
          <w:b/>
          <w:i w:val="false"/>
          <w:caps w:val="false"/>
          <w:smallCaps w:val="false"/>
          <w:color w:val="FF0000"/>
          <w:spacing w:val="0"/>
          <w:sz w:val="24"/>
        </w:rPr>
        <w:t>E NON IL SOLITO ARTICOLO DEL REGIME FORFETTARIO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color w:val="222222"/>
          <w:spacing w:val="0"/>
        </w:rPr>
        <w:t> 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/>
          <w:caps w:val="false"/>
          <w:smallCaps w:val="false"/>
          <w:color w:val="222222"/>
          <w:spacing w:val="0"/>
          <w:sz w:val="24"/>
        </w:rPr>
        <w:t>Quanto sopra è variato rispetto alle regole  ante 2025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color w:val="222222"/>
          <w:spacing w:val="0"/>
        </w:rPr>
        <w:t> 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color w:val="222222"/>
          <w:spacing w:val="0"/>
        </w:rPr>
        <w:t> 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-          </w:t>
      </w:r>
      <w:r>
        <w:rPr>
          <w:rFonts w:ascii="Calibri" w:hAnsi="Calibri"/>
          <w:b/>
          <w:i w:val="false"/>
          <w:caps w:val="false"/>
          <w:smallCaps w:val="false"/>
          <w:color w:val="222222"/>
          <w:spacing w:val="0"/>
          <w:sz w:val="24"/>
        </w:rPr>
        <w:t>Spese prepagate dal committente ed a questi intestate dal prestatore: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 in questo caso non confluiscono nella contabilità del professionista ma in quella del suo committente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/>
          <w:caps w:val="false"/>
          <w:smallCaps w:val="false"/>
          <w:color w:val="222222"/>
          <w:spacing w:val="0"/>
          <w:sz w:val="24"/>
        </w:rPr>
        <w:t>Quanto sopra è rimasto invariato rispetto alle regole  ante 2025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color w:val="222222"/>
          <w:spacing w:val="0"/>
        </w:rPr>
        <w:t> </w:t>
      </w:r>
    </w:p>
    <w:p>
      <w:pPr>
        <w:pStyle w:val="BodyText"/>
        <w:widowControl/>
        <w:spacing w:before="0" w:after="160"/>
        <w:ind w:hanging="0" w:left="0" w:right="0"/>
        <w:rPr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Calibri" w:hAnsi="Calibri"/>
        </w:rPr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33"/>
        </w:rPr>
        <w:t xml:space="preserve">2) </w:t>
      </w: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33"/>
        </w:rPr>
        <w:t xml:space="preserve">LAVORO DIPENDENTE: </w:t>
      </w:r>
      <w:r>
        <w:rPr>
          <w:rFonts w:ascii="Calibri" w:hAnsi="Calibri"/>
          <w:b w:val="false"/>
          <w:i w:val="false"/>
          <w:caps w:val="false"/>
          <w:smallCaps w:val="false"/>
          <w:color w:val="1F1F1F"/>
          <w:spacing w:val="0"/>
          <w:sz w:val="33"/>
        </w:rPr>
        <w:t>p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er il solo anno 2025 (e quindi verificando quanto percepito nell’esercizio 2024) 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shd w:fill="FFFF00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  <w:shd w:fill="FFFF00" w:val="clear"/>
        </w:rPr>
        <w:t xml:space="preserve">i resta in regime forfettario se i redditi lordi (punto 1 della/e CU 2025) da lavoro dipendente (od assimilato) e redditi di pensione sono stati inferiori a 35.000 Euro </w:t>
      </w:r>
      <w:r>
        <w:rPr>
          <w:rFonts w:ascii="Calibri" w:hAnsi="Calibri"/>
          <w:b w:val="false"/>
          <w:i w:val="false"/>
          <w:caps w:val="false"/>
          <w:smallCaps w:val="false"/>
          <w:color w:val="222222"/>
          <w:spacing w:val="0"/>
          <w:sz w:val="24"/>
        </w:rPr>
        <w:t>(mentre fino al 2024 il massimale era di 30.000 Euro lordi)</w:t>
      </w:r>
    </w:p>
    <w:p>
      <w:pPr>
        <w:pStyle w:val="BodyText"/>
        <w:widowControl/>
        <w:spacing w:before="0" w:after="160"/>
        <w:ind w:hanging="0" w:left="0" w:right="0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color w:val="222222"/>
          <w:spacing w:val="0"/>
        </w:rPr>
        <w:t> 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color w:val="FF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color w:val="FF0000"/>
          <w:sz w:val="28"/>
          <w:szCs w:val="28"/>
          <w:u w:val="single"/>
        </w:rPr>
        <w:t xml:space="preserve">Per chiarimenti sui temi fiscali contattare lo Studio Bertoni&amp;Partners al numero: 328-9228037 oppure </w:t>
      </w:r>
      <w:hyperlink r:id="rId3">
        <w:r>
          <w:rPr>
            <w:rStyle w:val="Hyperlink"/>
            <w:rFonts w:cs="Calibri" w:ascii="Calibri" w:hAnsi="Calibri" w:asciiTheme="minorHAnsi" w:cstheme="minorHAnsi" w:hAnsiTheme="minorHAnsi"/>
            <w:b/>
            <w:sz w:val="28"/>
            <w:szCs w:val="28"/>
          </w:rPr>
          <w:t>bertoni@bcgcommercialisti.it</w:t>
        </w:r>
      </w:hyperlink>
      <w:r>
        <w:rPr>
          <w:rFonts w:cs="Calibri" w:ascii="Calibri" w:hAnsi="Calibri" w:asciiTheme="minorHAnsi" w:cstheme="minorHAnsi" w:hAnsiTheme="minorHAnsi"/>
          <w:b/>
          <w:color w:val="FF0000"/>
          <w:sz w:val="28"/>
          <w:szCs w:val="28"/>
        </w:rPr>
        <w:t xml:space="preserve">  il servizio, dedicato e riservato ai nostri iscritti o futuri iscritti, è attivo dalle 9.00 alle 20.00 orario continuato.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color w:val="FF0000"/>
          <w:sz w:val="28"/>
          <w:szCs w:val="28"/>
        </w:rPr>
      </w:pPr>
      <w:r>
        <w:rPr>
          <w:rFonts w:cs="Calibri" w:cstheme="minorHAnsi" w:ascii="Calibri" w:hAnsi="Calibri"/>
          <w:b/>
          <w:color w:val="FF0000"/>
          <w:sz w:val="28"/>
          <w:szCs w:val="2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color w:themeColor="text1" w:val="000000"/>
        </w:rPr>
      </w:pPr>
      <w:r>
        <w:rPr>
          <w:rFonts w:cs="Calibri" w:ascii="Calibri" w:hAnsi="Calibri" w:asciiTheme="minorHAnsi" w:cstheme="minorHAnsi" w:hAnsiTheme="minorHAnsi"/>
          <w:b/>
          <w:color w:themeColor="text1" w:val="000000"/>
        </w:rPr>
        <w:t>In convenzione con il nostro Ente/Ordine professionale, lo Studio Bertoni&amp;Partners, specializzato nella fiscalità del nostro settore, offre supporto, a tariffe di favore per i nostri iscritti, sui seguenti temi: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color w:themeColor="text1" w:val="000000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color w:themeColor="text1" w:val="000000"/>
          <w:lang w:eastAsia="it-IT"/>
        </w:rPr>
        <w:t>consulenza in fase di apertura p.iva sulla scelta della corretta forma giuridica (ditta individuale, società, studio associato, associazione) e sul regime fiscale più opportuno;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color w:themeColor="text1" w:val="000000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color w:themeColor="text1" w:val="000000"/>
          <w:lang w:eastAsia="it-IT"/>
        </w:rPr>
        <w:t>assistenza per le varie pratiche di apertura p.iva ;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color w:themeColor="text1" w:val="000000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color w:themeColor="text1" w:val="000000"/>
          <w:lang w:eastAsia="it-IT"/>
        </w:rPr>
        <w:t>assistenza, consulenza e redazione per elaborazione business plan;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color w:themeColor="text1" w:val="000000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color w:themeColor="text1" w:val="000000"/>
          <w:lang w:eastAsia="it-IT"/>
        </w:rPr>
        <w:t>assistenza per la tenuta contabile ed elaborazione ed invio telematico dichiarativi;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color w:themeColor="text1" w:val="000000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color w:themeColor="text1" w:val="000000"/>
          <w:lang w:eastAsia="it-IT"/>
        </w:rPr>
        <w:t>redazione di pareri sui temi fiscali, societari, contabili e redazione di interpelli;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color w:themeColor="text1" w:val="000000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color w:themeColor="text1" w:val="000000"/>
          <w:lang w:eastAsia="it-IT"/>
        </w:rPr>
        <w:t>consulenza ed assistenza in tema di contenzioso fiscale e rappresentanza in commissione tributaria;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Calibri" w:hAnsi="Calibri" w:eastAsia="Times New Roman" w:cs="Calibri" w:asciiTheme="minorHAnsi" w:cstheme="minorHAnsi" w:hAnsiTheme="minorHAnsi"/>
          <w:color w:themeColor="text1" w:val="000000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color w:themeColor="text1" w:val="000000"/>
          <w:lang w:eastAsia="it-IT"/>
        </w:rPr>
        <w:t>consulenza in tema di contributi a fondo perduto.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2240" w:h="15840"/>
      <w:pgMar w:left="580" w:right="480" w:gutter="0" w:header="5" w:top="1700" w:footer="400" w:bottom="6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pperplate Gothic Light">
    <w:charset w:val="00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728764F0">
              <wp:simplePos x="0" y="0"/>
              <wp:positionH relativeFrom="page">
                <wp:posOffset>431800</wp:posOffset>
              </wp:positionH>
              <wp:positionV relativeFrom="page">
                <wp:posOffset>9626600</wp:posOffset>
              </wp:positionV>
              <wp:extent cx="6908165" cy="9525"/>
              <wp:effectExtent l="0" t="0" r="0" b="0"/>
              <wp:wrapNone/>
              <wp:docPr id="2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8040" cy="9360"/>
                      </a:xfrm>
                      <a:prstGeom prst="rect">
                        <a:avLst/>
                      </a:prstGeom>
                      <a:solidFill>
                        <a:srgbClr val="00549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tangolo 2" path="m0,0l-2147483645,0l-2147483645,-2147483646l0,-2147483646xe" fillcolor="#005490" stroked="f" o:allowincell="f" style="position:absolute;margin-left:34pt;margin-top:758pt;width:543.9pt;height:0.7pt;mso-wrap-style:none;v-text-anchor:middle;mso-position-horizontal-relative:page;mso-position-vertical-relative:page" wp14:anchorId="728764F0">
              <v:fill o:detectmouseclick="t" type="solid" color2="#ffab6f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 wp14:anchorId="3BF660FE">
              <wp:simplePos x="0" y="0"/>
              <wp:positionH relativeFrom="page">
                <wp:posOffset>6965315</wp:posOffset>
              </wp:positionH>
              <wp:positionV relativeFrom="page">
                <wp:posOffset>9700260</wp:posOffset>
              </wp:positionV>
              <wp:extent cx="299085" cy="121920"/>
              <wp:effectExtent l="0" t="0" r="0" b="0"/>
              <wp:wrapNone/>
              <wp:docPr id="3" name="Casella di tes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160" cy="122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3" w:after="0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005490"/>
                              <w:w w:val="105"/>
                              <w:sz w:val="13"/>
                            </w:rPr>
                            <w:t>Pag.</w:t>
                          </w:r>
                          <w:r>
                            <w:rPr>
                              <w:color w:val="005490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path="m0,0l-2147483645,0l-2147483645,-2147483646l0,-2147483646xe" stroked="f" o:allowincell="f" style="position:absolute;margin-left:548.45pt;margin-top:763.8pt;width:23.5pt;height:9.55pt;mso-wrap-style:square;v-text-anchor:top;mso-position-horizontal-relative:page;mso-position-vertical-relative:page" wp14:anchorId="3BF660F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3" w:after="0"/>
                      <w:ind w:left="20"/>
                      <w:rPr>
                        <w:sz w:val="13"/>
                      </w:rPr>
                    </w:pPr>
                    <w:r>
                      <w:rPr>
                        <w:color w:val="005490"/>
                        <w:w w:val="105"/>
                        <w:sz w:val="13"/>
                      </w:rPr>
                      <w:t>Pag.</w:t>
                    </w:r>
                    <w:r>
                      <w:rPr>
                        <w:color w:val="005490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728764F0">
              <wp:simplePos x="0" y="0"/>
              <wp:positionH relativeFrom="page">
                <wp:posOffset>431800</wp:posOffset>
              </wp:positionH>
              <wp:positionV relativeFrom="page">
                <wp:posOffset>9626600</wp:posOffset>
              </wp:positionV>
              <wp:extent cx="6908165" cy="9525"/>
              <wp:effectExtent l="0" t="0" r="0" b="0"/>
              <wp:wrapNone/>
              <wp:docPr id="4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8040" cy="9360"/>
                      </a:xfrm>
                      <a:prstGeom prst="rect">
                        <a:avLst/>
                      </a:prstGeom>
                      <a:solidFill>
                        <a:srgbClr val="00549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tangolo 2" path="m0,0l-2147483645,0l-2147483645,-2147483646l0,-2147483646xe" fillcolor="#005490" stroked="f" o:allowincell="f" style="position:absolute;margin-left:34pt;margin-top:758pt;width:543.9pt;height:0.7pt;mso-wrap-style:none;v-text-anchor:middle;mso-position-horizontal-relative:page;mso-position-vertical-relative:page" wp14:anchorId="728764F0">
              <v:fill o:detectmouseclick="t" type="solid" color2="#ffab6f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 wp14:anchorId="3BF660FE">
              <wp:simplePos x="0" y="0"/>
              <wp:positionH relativeFrom="page">
                <wp:posOffset>6965315</wp:posOffset>
              </wp:positionH>
              <wp:positionV relativeFrom="page">
                <wp:posOffset>9700260</wp:posOffset>
              </wp:positionV>
              <wp:extent cx="299085" cy="121920"/>
              <wp:effectExtent l="0" t="0" r="0" b="0"/>
              <wp:wrapNone/>
              <wp:docPr id="5" name="Casella di tes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160" cy="122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3" w:after="0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005490"/>
                              <w:w w:val="105"/>
                              <w:sz w:val="13"/>
                            </w:rPr>
                            <w:t>Pag.</w:t>
                          </w:r>
                          <w:r>
                            <w:rPr>
                              <w:color w:val="005490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path="m0,0l-2147483645,0l-2147483645,-2147483646l0,-2147483646xe" stroked="f" o:allowincell="f" style="position:absolute;margin-left:548.45pt;margin-top:763.8pt;width:23.5pt;height:9.55pt;mso-wrap-style:square;v-text-anchor:top;mso-position-horizontal-relative:page;mso-position-vertical-relative:page" wp14:anchorId="3BF660F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3" w:after="0"/>
                      <w:ind w:left="20"/>
                      <w:rPr>
                        <w:sz w:val="13"/>
                      </w:rPr>
                    </w:pPr>
                    <w:r>
                      <w:rPr>
                        <w:color w:val="005490"/>
                        <w:w w:val="105"/>
                        <w:sz w:val="13"/>
                      </w:rPr>
                      <w:t>Pag.</w:t>
                    </w:r>
                    <w:r>
                      <w:rPr>
                        <w:color w:val="005490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hAnsi="Arial" w:eastAsia="Arial" w:cs="Arial"/>
      <w:b/>
      <w:bCs/>
      <w:sz w:val="18"/>
      <w:szCs w:val="18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fd6411"/>
    <w:rPr>
      <w:rFonts w:ascii="Microsoft Sans Serif" w:hAnsi="Microsoft Sans Serif" w:eastAsia="Microsoft Sans Serif" w:cs="Microsoft Sans Serif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fd6411"/>
    <w:rPr>
      <w:rFonts w:ascii="Microsoft Sans Serif" w:hAnsi="Microsoft Sans Serif" w:eastAsia="Microsoft Sans Serif" w:cs="Microsoft Sans Serif"/>
      <w:lang w:val="it-IT"/>
    </w:rPr>
  </w:style>
  <w:style w:type="character" w:styleId="Hyperlink">
    <w:name w:val="Hyperlink"/>
    <w:basedOn w:val="DefaultParagraphFont"/>
    <w:uiPriority w:val="99"/>
    <w:unhideWhenUsed/>
    <w:rsid w:val="00fd6411"/>
    <w:rPr>
      <w:color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18"/>
      <w:szCs w:val="1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60" w:after="0"/>
      <w:ind w:left="100" w:right="197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56" w:after="0"/>
      <w:ind w:left="22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d641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fd641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fd6411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ertoni@bcgcommercialisti.i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LibreOffice/24.8.4.2$Windows_X86_64 LibreOffice_project/bb3cfa12c7b1bf994ecc5649a80400d06cd71002</Application>
  <AppVersion>15.0000</AppVersion>
  <Pages>3</Pages>
  <Words>684</Words>
  <Characters>3780</Characters>
  <CharactersWithSpaces>4523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2024-12-16T16:27:00Z</dcterms:created>
  <dc:creator>Gianluca Bertoni</dc:creator>
  <dc:description/>
  <dc:language>it-IT</dc:language>
  <cp:lastModifiedBy/>
  <dcterms:modified xsi:type="dcterms:W3CDTF">2025-01-19T12:05:13Z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2024-10-14T00:00:00Z</vt:filetime>
  </property>
</Properties>
</file>