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DB756" w14:textId="77777777" w:rsidR="001C45A5" w:rsidRPr="001C45A5" w:rsidRDefault="001C45A5" w:rsidP="001C45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</w:pPr>
      <w:r w:rsidRPr="001C45A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LEGGE 14 luglio 2020, n. 81 </w:t>
      </w:r>
    </w:p>
    <w:p w14:paraId="26DF3B9B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1C45A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Disposizioni per il </w:t>
      </w:r>
      <w:proofErr w:type="gramStart"/>
      <w:r w:rsidRPr="001C45A5">
        <w:rPr>
          <w:rFonts w:ascii="Courier New" w:eastAsia="Times New Roman" w:hAnsi="Courier New" w:cs="Courier New"/>
          <w:b/>
          <w:bCs/>
          <w:color w:val="000000"/>
          <w:lang w:eastAsia="it-IT"/>
        </w:rPr>
        <w:t>riconoscimento  della</w:t>
      </w:r>
      <w:proofErr w:type="gramEnd"/>
      <w:r w:rsidRPr="001C45A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cefalea  primaria  cronica</w:t>
      </w:r>
    </w:p>
    <w:p w14:paraId="5CFE6939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1C45A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come malattia sociale. (20G00100) </w:t>
      </w:r>
    </w:p>
    <w:p w14:paraId="2717873A" w14:textId="77777777" w:rsidR="001C45A5" w:rsidRPr="001C45A5" w:rsidRDefault="001C45A5" w:rsidP="001C45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1C45A5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n.188 del 28-7-2020)</w:t>
      </w:r>
    </w:p>
    <w:p w14:paraId="4CAB758A" w14:textId="77777777" w:rsidR="001C45A5" w:rsidRPr="001C45A5" w:rsidRDefault="001C45A5" w:rsidP="001C45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1C45A5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14:paraId="68C9152F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</w:pPr>
      <w:r w:rsidRPr="001C45A5"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  <w:t xml:space="preserve"> Vigente al: 12-8-2020  </w:t>
      </w:r>
    </w:p>
    <w:p w14:paraId="053E950D" w14:textId="77777777" w:rsidR="001C45A5" w:rsidRPr="001C45A5" w:rsidRDefault="001C45A5" w:rsidP="001C45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1C45A5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14:paraId="4CE8D98E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BEF0184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Camera</w:t>
      </w:r>
      <w:proofErr w:type="gramEnd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deputati  ed  il  Senato  della  Repubblica  hanno</w:t>
      </w:r>
    </w:p>
    <w:p w14:paraId="3B19F221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approvato; </w:t>
      </w:r>
    </w:p>
    <w:p w14:paraId="6D6AB946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25291BD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IL PRESIDENTE DELLA REPUBBLICA </w:t>
      </w:r>
    </w:p>
    <w:p w14:paraId="24ADDB4D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CC2D212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Promulga </w:t>
      </w:r>
    </w:p>
    <w:p w14:paraId="1901BFC1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325FFF7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seguente legge: </w:t>
      </w:r>
    </w:p>
    <w:p w14:paraId="13D9910F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14:paraId="1C9E9656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AFA2954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cefalea primaria cronica, accertata </w:t>
      </w:r>
      <w:proofErr w:type="gramStart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 almeno</w:t>
      </w:r>
      <w:proofErr w:type="gramEnd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un  anno  nel</w:t>
      </w:r>
    </w:p>
    <w:p w14:paraId="3A1024F4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paziente mediante diagnosi effettuata da uno specialista </w:t>
      </w:r>
      <w:proofErr w:type="gramStart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settore</w:t>
      </w:r>
      <w:proofErr w:type="gramEnd"/>
    </w:p>
    <w:p w14:paraId="18666947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presso un centro accreditato per la diagnosi e la cura </w:t>
      </w:r>
      <w:proofErr w:type="gramStart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cefalee</w:t>
      </w:r>
      <w:proofErr w:type="gramEnd"/>
    </w:p>
    <w:p w14:paraId="2BE18AF5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che ne attesti l'effetto invalidante, </w:t>
      </w:r>
      <w:proofErr w:type="spellStart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riconosciuta  come</w:t>
      </w:r>
      <w:proofErr w:type="gramEnd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malattia</w:t>
      </w:r>
    </w:p>
    <w:p w14:paraId="069C9B65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sociale, per le </w:t>
      </w:r>
      <w:proofErr w:type="spellStart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 comma 2, nelle seguenti forme: </w:t>
      </w:r>
    </w:p>
    <w:p w14:paraId="4102229F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emicrania cronica e ad alta frequenza; </w:t>
      </w:r>
    </w:p>
    <w:p w14:paraId="09F6F8B2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cefalea </w:t>
      </w:r>
      <w:proofErr w:type="gramStart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cronica  quotidiana</w:t>
      </w:r>
      <w:proofErr w:type="gramEnd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  o  senza  uso  eccessivo  di</w:t>
      </w:r>
    </w:p>
    <w:p w14:paraId="62AF6A5A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farmaci analgesici; </w:t>
      </w:r>
    </w:p>
    <w:p w14:paraId="7E8FE68B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cefalea a grappolo cronica; </w:t>
      </w:r>
    </w:p>
    <w:p w14:paraId="718C5941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emicrania parossistica cronica; </w:t>
      </w:r>
    </w:p>
    <w:p w14:paraId="30490F12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 </w:t>
      </w:r>
      <w:proofErr w:type="gramStart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cefalea  </w:t>
      </w:r>
      <w:proofErr w:type="spellStart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nevralgiforme</w:t>
      </w:r>
      <w:proofErr w:type="spellEnd"/>
      <w:proofErr w:type="gramEnd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unilaterale  di  breve   durata   con</w:t>
      </w:r>
    </w:p>
    <w:p w14:paraId="7DD3F423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arrossamento oculare e lacrimazione; </w:t>
      </w:r>
    </w:p>
    <w:p w14:paraId="4749D14F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emicrania continua. </w:t>
      </w:r>
    </w:p>
    <w:p w14:paraId="75EFA16E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</w:t>
      </w:r>
      <w:proofErr w:type="gramStart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decreto</w:t>
      </w:r>
      <w:proofErr w:type="gramEnd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Ministro  della  salute,  da  adottare  entro</w:t>
      </w:r>
    </w:p>
    <w:p w14:paraId="05110215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centottanta giorni dalla data di </w:t>
      </w:r>
      <w:proofErr w:type="gramStart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entrata  in</w:t>
      </w:r>
      <w:proofErr w:type="gramEnd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vigore  della  presente</w:t>
      </w:r>
    </w:p>
    <w:p w14:paraId="7889A2B0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legge, previa intesa sancita in sede di Conferenza </w:t>
      </w:r>
      <w:proofErr w:type="gramStart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permanente  per</w:t>
      </w:r>
      <w:proofErr w:type="gramEnd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</w:t>
      </w:r>
    </w:p>
    <w:p w14:paraId="53332994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rapporti tra lo Stato, le regioni e le Province autonome di </w:t>
      </w:r>
      <w:proofErr w:type="gramStart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Trento  e</w:t>
      </w:r>
      <w:proofErr w:type="gramEnd"/>
    </w:p>
    <w:p w14:paraId="6CCF057A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Bolzano, sono individuati, senza nuovi </w:t>
      </w:r>
      <w:proofErr w:type="gramStart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 maggiori</w:t>
      </w:r>
      <w:proofErr w:type="gramEnd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oneri  per  la</w:t>
      </w:r>
    </w:p>
    <w:p w14:paraId="5D121D0B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finanza  pubblica</w:t>
      </w:r>
      <w:proofErr w:type="gramEnd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progetti  finalizzati   a   sperimentare   metodi</w:t>
      </w:r>
    </w:p>
    <w:p w14:paraId="1AF1156D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innovativi di presa in carico delle persone affette da </w:t>
      </w:r>
      <w:proofErr w:type="gramStart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cefalea  nelle</w:t>
      </w:r>
      <w:proofErr w:type="gramEnd"/>
    </w:p>
    <w:p w14:paraId="2DCFB5B0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forme di cui al comma 1, </w:t>
      </w:r>
      <w:proofErr w:type="spellStart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' i criteri e le </w:t>
      </w:r>
      <w:proofErr w:type="spellStart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 </w:t>
      </w:r>
      <w:proofErr w:type="gramStart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 le</w:t>
      </w:r>
      <w:proofErr w:type="gramEnd"/>
    </w:p>
    <w:p w14:paraId="1479F888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regioni attuano i medesimi progetti. </w:t>
      </w:r>
    </w:p>
    <w:p w14:paraId="264039D9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presente legge, munita del sigillo dello </w:t>
      </w:r>
      <w:proofErr w:type="gramStart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Stato,  </w:t>
      </w:r>
      <w:proofErr w:type="spellStart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</w:t>
      </w:r>
      <w:proofErr w:type="gramEnd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inserita</w:t>
      </w:r>
    </w:p>
    <w:p w14:paraId="08F7F567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Raccolta</w:t>
      </w:r>
      <w:proofErr w:type="gramEnd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ufficiale  degli  atti  normativi  della  Repubblica</w:t>
      </w:r>
    </w:p>
    <w:p w14:paraId="2B8E3368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italiana. </w:t>
      </w:r>
      <w:proofErr w:type="gramStart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gramEnd"/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fatto obbligo a chiunque spetti di osservarla e di farla</w:t>
      </w:r>
    </w:p>
    <w:p w14:paraId="0956DF19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osservare come legge dello Stato. </w:t>
      </w:r>
    </w:p>
    <w:p w14:paraId="64B96C0A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872B10C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Data a Roma, addi' 14 luglio 2020 </w:t>
      </w:r>
    </w:p>
    <w:p w14:paraId="22FEE50A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7A575A5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MATTARELLA </w:t>
      </w:r>
    </w:p>
    <w:p w14:paraId="119EF996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AD99D47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Conte, Presidente del Consiglio dei ministri </w:t>
      </w:r>
    </w:p>
    <w:p w14:paraId="29735F99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A2729E7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B7F5B08" w14:textId="77777777" w:rsidR="001C45A5" w:rsidRPr="001C45A5" w:rsidRDefault="001C45A5" w:rsidP="001C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C45A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Visto, il Guardasigilli: Bonafede </w:t>
      </w:r>
    </w:p>
    <w:p w14:paraId="142291CA" w14:textId="77777777" w:rsidR="00584D02" w:rsidRDefault="00584D02" w:rsidP="001C45A5">
      <w:pPr>
        <w:spacing w:after="0" w:line="240" w:lineRule="auto"/>
      </w:pPr>
    </w:p>
    <w:sectPr w:rsidR="00584D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A5"/>
    <w:rsid w:val="001C45A5"/>
    <w:rsid w:val="005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4057"/>
  <w15:chartTrackingRefBased/>
  <w15:docId w15:val="{18F12121-590D-4ACF-ADDC-816279C4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Anna Macchione</cp:lastModifiedBy>
  <cp:revision>1</cp:revision>
  <dcterms:created xsi:type="dcterms:W3CDTF">2020-07-30T05:59:00Z</dcterms:created>
  <dcterms:modified xsi:type="dcterms:W3CDTF">2020-07-30T06:01:00Z</dcterms:modified>
</cp:coreProperties>
</file>